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D5C74">
      <w:pPr>
        <w:widowControl w:val="0"/>
        <w:autoSpaceDE w:val="0"/>
        <w:autoSpaceDN w:val="0"/>
        <w:adjustRightInd w:val="0"/>
        <w:rPr>
          <w:rFonts w:ascii="sans-serif" w:hAnsi="sans-serif" w:cs="sans-serif"/>
          <w:color w:val="000000"/>
        </w:rPr>
      </w:pPr>
      <w:bookmarkStart w:id="0" w:name="_GoBack"/>
      <w:bookmarkEnd w:id="0"/>
    </w:p>
    <w:p w:rsidR="00000000" w:rsidRDefault="006D5C7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000000">
          <w:headerReference w:type="default" r:id="rId7"/>
          <w:footerReference w:type="default" r:id="rId8"/>
          <w:pgSz w:w="12240" w:h="15840"/>
          <w:pgMar w:top="1080" w:right="1080" w:bottom="1080" w:left="1080" w:header="720" w:footer="720" w:gutter="0"/>
          <w:cols w:space="720"/>
          <w:noEndnote/>
        </w:sectPr>
      </w:pPr>
    </w:p>
    <w:p w:rsidR="00000000" w:rsidRDefault="006D5C74">
      <w:pPr>
        <w:widowControl w:val="0"/>
        <w:autoSpaceDE w:val="0"/>
        <w:autoSpaceDN w:val="0"/>
        <w:adjustRightInd w:val="0"/>
        <w:jc w:val="right"/>
        <w:rPr>
          <w:rFonts w:ascii="sans-serif" w:hAnsi="sans-serif" w:cs="sans-serif"/>
          <w:color w:val="000000"/>
        </w:rPr>
      </w:pPr>
      <w:r>
        <w:rPr>
          <w:rFonts w:ascii="sans-serif" w:hAnsi="sans-serif" w:cs="sans-serif"/>
          <w:color w:val="000000"/>
        </w:rPr>
        <w:lastRenderedPageBreak/>
        <w:t>Date of Printing: August 31, 2015 6:01:11 AM CDT</w:t>
      </w:r>
    </w:p>
    <w:p w:rsidR="00000000" w:rsidRDefault="006D5C74">
      <w:pPr>
        <w:widowControl w:val="0"/>
        <w:autoSpaceDE w:val="0"/>
        <w:autoSpaceDN w:val="0"/>
        <w:adjustRightInd w:val="0"/>
        <w:spacing w:after="400"/>
        <w:jc w:val="right"/>
        <w:rPr>
          <w:rFonts w:ascii="sans-serif" w:hAnsi="sans-serif" w:cs="sans-serif"/>
          <w:color w:val="000000"/>
        </w:rPr>
      </w:pPr>
      <w:r>
        <w:rPr>
          <w:rFonts w:ascii="sans-serif" w:hAnsi="sans-serif" w:cs="sans-serif"/>
          <w:color w:val="000000"/>
        </w:rPr>
        <w:t>Last Run: August 24, 2015 6:05:06 AM CDT</w:t>
      </w:r>
    </w:p>
    <w:p w:rsidR="00000000" w:rsidRDefault="006D5C74">
      <w:pPr>
        <w:widowControl w:val="0"/>
        <w:autoSpaceDE w:val="0"/>
        <w:autoSpaceDN w:val="0"/>
        <w:adjustRightInd w:val="0"/>
        <w:rPr>
          <w:rFonts w:ascii="sans-serif" w:hAnsi="sans-serif" w:cs="sans-serif"/>
          <w:b/>
          <w:bCs/>
          <w:color w:val="000000"/>
        </w:rPr>
      </w:pPr>
    </w:p>
    <w:p w:rsidR="00000000" w:rsidRDefault="006D5C7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000000">
          <w:type w:val="continuous"/>
          <w:pgSz w:w="12240" w:h="15840"/>
          <w:pgMar w:top="1080" w:right="1080" w:bottom="1080" w:left="1080" w:header="720" w:footer="720" w:gutter="0"/>
          <w:cols w:space="720"/>
          <w:noEndnote/>
        </w:sectPr>
      </w:pPr>
    </w:p>
    <w:p w:rsidR="00000000" w:rsidRDefault="006D5C74">
      <w:pPr>
        <w:widowControl w:val="0"/>
        <w:autoSpaceDE w:val="0"/>
        <w:autoSpaceDN w:val="0"/>
        <w:adjustRightInd w:val="0"/>
        <w:spacing w:after="400"/>
        <w:jc w:val="center"/>
        <w:rPr>
          <w:rFonts w:ascii="sans-serif" w:hAnsi="sans-serif" w:cs="sans-serif"/>
          <w:b/>
          <w:bCs/>
          <w:color w:val="000000"/>
        </w:rPr>
      </w:pPr>
      <w:r>
        <w:rPr>
          <w:rFonts w:ascii="sans-serif" w:hAnsi="sans-serif" w:cs="sans-serif"/>
          <w:b/>
          <w:bCs/>
          <w:color w:val="000000"/>
        </w:rPr>
        <w:lastRenderedPageBreak/>
        <w:t>KEYCITE ALERT</w:t>
      </w:r>
    </w:p>
    <w:p w:rsidR="00000000" w:rsidRDefault="006D5C74">
      <w:pPr>
        <w:widowControl w:val="0"/>
        <w:autoSpaceDE w:val="0"/>
        <w:autoSpaceDN w:val="0"/>
        <w:adjustRightInd w:val="0"/>
        <w:rPr>
          <w:rFonts w:ascii="sans-serif" w:hAnsi="sans-serif" w:cs="sans-serif"/>
          <w:color w:val="000000"/>
        </w:rPr>
      </w:pPr>
    </w:p>
    <w:p w:rsidR="00000000" w:rsidRDefault="006D5C7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000000">
          <w:type w:val="continuous"/>
          <w:pgSz w:w="12240" w:h="15840"/>
          <w:pgMar w:top="1080" w:right="1080" w:bottom="1080" w:left="1080" w:header="720" w:footer="720" w:gutter="0"/>
          <w:cols w:space="720"/>
          <w:noEndnote/>
        </w:sectPr>
      </w:pPr>
    </w:p>
    <w:p w:rsidR="00000000" w:rsidRDefault="006D5C74">
      <w:pPr>
        <w:widowControl w:val="0"/>
        <w:autoSpaceDE w:val="0"/>
        <w:autoSpaceDN w:val="0"/>
        <w:adjustRightInd w:val="0"/>
        <w:spacing w:after="200"/>
        <w:rPr>
          <w:rFonts w:ascii="sans-serif" w:hAnsi="sans-serif" w:cs="sans-serif"/>
          <w:color w:val="000000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127000" cy="127000"/>
            <wp:effectExtent l="0" t="0" r="0" b="0"/>
            <wp:docPr id="3" name="Picture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history="1">
        <w:r>
          <w:rPr>
            <w:rFonts w:ascii="sans-serif" w:hAnsi="sans-serif" w:cs="sans-serif"/>
            <w:b/>
            <w:bCs/>
            <w:color w:val="0000FF"/>
          </w:rPr>
          <w:t>Burwell v. Hobby Lobby Stores, Inc.</w:t>
        </w:r>
      </w:hyperlink>
      <w:r>
        <w:rPr>
          <w:rFonts w:ascii="sans-serif" w:hAnsi="sans-serif" w:cs="sans-serif"/>
          <w:color w:val="000000"/>
        </w:rPr>
        <w:t>, 2014 WL 2921709 123 Fair Empl.Prac.Cas. (BNA) 621, 189 L.Ed.2d 675, 82 USLW 4636, 2014-2 USTC P 50,341, 14 Cal. Daily Op. Serv. 7276, 2014 Daily Journal D.A.R. 8589, 24 Fla. L. Weekly Fed. S 965, 134 S.Ct. 2751 (2014)</w:t>
      </w:r>
    </w:p>
    <w:p w:rsidR="00000000" w:rsidRDefault="006D5C74">
      <w:pPr>
        <w:widowControl w:val="0"/>
        <w:autoSpaceDE w:val="0"/>
        <w:autoSpaceDN w:val="0"/>
        <w:adjustRightInd w:val="0"/>
        <w:rPr>
          <w:rFonts w:ascii="sans-serif" w:hAnsi="sans-serif" w:cs="sans-serif"/>
          <w:color w:val="000000"/>
        </w:rPr>
      </w:pPr>
    </w:p>
    <w:p w:rsidR="00000000" w:rsidRDefault="006D5C7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000000">
          <w:type w:val="continuous"/>
          <w:pgSz w:w="12240" w:h="15840"/>
          <w:pgMar w:top="1080" w:right="1080" w:bottom="1080" w:left="1080" w:header="720" w:footer="720" w:gutter="0"/>
          <w:cols w:space="720"/>
          <w:noEndnote/>
        </w:sectPr>
      </w:pPr>
    </w:p>
    <w:p w:rsidR="00000000" w:rsidRDefault="006D5C74">
      <w:pPr>
        <w:widowControl w:val="0"/>
        <w:autoSpaceDE w:val="0"/>
        <w:autoSpaceDN w:val="0"/>
        <w:adjustRightInd w:val="0"/>
        <w:spacing w:after="56"/>
        <w:rPr>
          <w:rFonts w:ascii="sans-serif" w:hAnsi="sans-serif" w:cs="sans-serif"/>
          <w:b/>
          <w:bCs/>
          <w:color w:val="000000"/>
        </w:rPr>
      </w:pPr>
      <w:r>
        <w:rPr>
          <w:rFonts w:ascii="sans-serif" w:hAnsi="sans-serif" w:cs="sans-serif"/>
          <w:b/>
          <w:bCs/>
          <w:color w:val="000000"/>
        </w:rPr>
        <w:lastRenderedPageBreak/>
        <w:t xml:space="preserve">Results </w:t>
      </w:r>
      <w:r>
        <w:rPr>
          <w:rFonts w:ascii="sans-serif" w:hAnsi="sans-serif" w:cs="sans-serif"/>
          <w:b/>
          <w:bCs/>
          <w:color w:val="000000"/>
        </w:rPr>
        <w:t>Narrowed by:</w:t>
      </w:r>
    </w:p>
    <w:p w:rsidR="00000000" w:rsidRDefault="006D5C74">
      <w:pPr>
        <w:widowControl w:val="0"/>
        <w:autoSpaceDE w:val="0"/>
        <w:autoSpaceDN w:val="0"/>
        <w:adjustRightInd w:val="0"/>
        <w:ind w:left="113"/>
        <w:rPr>
          <w:rFonts w:ascii="sans-serif" w:hAnsi="sans-serif" w:cs="sans-serif"/>
          <w:b/>
          <w:bCs/>
          <w:color w:val="000000"/>
          <w:sz w:val="19"/>
          <w:szCs w:val="19"/>
        </w:rPr>
      </w:pPr>
      <w:r>
        <w:rPr>
          <w:rFonts w:ascii="sans-serif" w:hAnsi="sans-serif" w:cs="sans-serif"/>
          <w:b/>
          <w:bCs/>
          <w:color w:val="000000"/>
          <w:sz w:val="19"/>
          <w:szCs w:val="19"/>
        </w:rPr>
        <w:t>History References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7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5C74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sans-serif" w:hAnsi="sans-serif" w:cs="sans-serif"/>
                <w:color w:val="000000"/>
                <w:sz w:val="19"/>
                <w:szCs w:val="19"/>
              </w:rPr>
            </w:pPr>
            <w:r>
              <w:rPr>
                <w:rFonts w:ascii="sans-serif" w:hAnsi="sans-serif" w:cs="sans-serif"/>
                <w:color w:val="000000"/>
                <w:sz w:val="19"/>
                <w:szCs w:val="19"/>
              </w:rPr>
              <w:t>Detail Level: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5C74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sans-serif" w:hAnsi="sans-serif" w:cs="sans-serif"/>
                <w:color w:val="000000"/>
                <w:sz w:val="19"/>
                <w:szCs w:val="19"/>
              </w:rPr>
            </w:pPr>
            <w:r>
              <w:rPr>
                <w:rFonts w:ascii="sans-serif" w:hAnsi="sans-serif" w:cs="sans-serif"/>
                <w:color w:val="000000"/>
                <w:sz w:val="19"/>
                <w:szCs w:val="19"/>
              </w:rPr>
              <w:t>Most Detail</w:t>
            </w:r>
          </w:p>
        </w:tc>
      </w:tr>
    </w:tbl>
    <w:p w:rsidR="00000000" w:rsidRDefault="006D5C74">
      <w:pPr>
        <w:widowControl w:val="0"/>
        <w:autoSpaceDE w:val="0"/>
        <w:autoSpaceDN w:val="0"/>
        <w:adjustRightInd w:val="0"/>
        <w:ind w:left="113"/>
        <w:rPr>
          <w:rFonts w:ascii="sans-serif" w:hAnsi="sans-serif" w:cs="sans-serif"/>
          <w:color w:val="000000"/>
          <w:sz w:val="19"/>
          <w:szCs w:val="19"/>
        </w:rPr>
      </w:pPr>
    </w:p>
    <w:p w:rsidR="00000000" w:rsidRDefault="006D5C74">
      <w:pPr>
        <w:widowControl w:val="0"/>
        <w:autoSpaceDE w:val="0"/>
        <w:autoSpaceDN w:val="0"/>
        <w:adjustRightInd w:val="0"/>
        <w:ind w:left="113"/>
        <w:rPr>
          <w:rFonts w:ascii="sans-serif" w:hAnsi="sans-serif" w:cs="sans-serif"/>
          <w:b/>
          <w:bCs/>
          <w:color w:val="000000"/>
          <w:sz w:val="19"/>
          <w:szCs w:val="19"/>
        </w:rPr>
      </w:pPr>
      <w:r>
        <w:rPr>
          <w:rFonts w:ascii="sans-serif" w:hAnsi="sans-serif" w:cs="sans-serif"/>
          <w:b/>
          <w:bCs/>
          <w:color w:val="000000"/>
          <w:sz w:val="19"/>
          <w:szCs w:val="19"/>
        </w:rPr>
        <w:t>Citing References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7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5C74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sans-serif" w:hAnsi="sans-serif" w:cs="sans-serif"/>
                <w:color w:val="000000"/>
                <w:sz w:val="19"/>
                <w:szCs w:val="19"/>
              </w:rPr>
            </w:pPr>
            <w:r>
              <w:rPr>
                <w:rFonts w:ascii="sans-serif" w:hAnsi="sans-serif" w:cs="sans-serif"/>
                <w:color w:val="000000"/>
                <w:sz w:val="19"/>
                <w:szCs w:val="19"/>
              </w:rPr>
              <w:t>Detail Level: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5C74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sans-serif" w:hAnsi="sans-serif" w:cs="sans-serif"/>
                <w:color w:val="000000"/>
                <w:sz w:val="19"/>
                <w:szCs w:val="19"/>
              </w:rPr>
            </w:pPr>
            <w:r>
              <w:rPr>
                <w:rFonts w:ascii="sans-serif" w:hAnsi="sans-serif" w:cs="sans-serif"/>
                <w:color w:val="000000"/>
                <w:sz w:val="19"/>
                <w:szCs w:val="19"/>
              </w:rPr>
              <w:t>Most Detail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5C74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sans-serif" w:hAnsi="sans-serif" w:cs="sans-serif"/>
                <w:color w:val="000000"/>
                <w:sz w:val="19"/>
                <w:szCs w:val="19"/>
              </w:rPr>
            </w:pPr>
            <w:r>
              <w:rPr>
                <w:rFonts w:ascii="sans-serif" w:hAnsi="sans-serif" w:cs="sans-serif"/>
                <w:color w:val="000000"/>
                <w:sz w:val="19"/>
                <w:szCs w:val="19"/>
              </w:rPr>
              <w:t>Content Type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5C74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sans-serif" w:hAnsi="sans-serif" w:cs="sans-serif"/>
                <w:color w:val="000000"/>
                <w:sz w:val="19"/>
                <w:szCs w:val="19"/>
              </w:rPr>
            </w:pPr>
            <w:r>
              <w:rPr>
                <w:rFonts w:ascii="sans-serif" w:hAnsi="sans-serif" w:cs="sans-serif"/>
                <w:color w:val="000000"/>
                <w:sz w:val="19"/>
                <w:szCs w:val="19"/>
              </w:rPr>
              <w:t>Cases, Administrative Decisions &amp; Guidance, Practical Law</w:t>
            </w:r>
          </w:p>
        </w:tc>
      </w:tr>
    </w:tbl>
    <w:p w:rsidR="00000000" w:rsidRDefault="006D5C74">
      <w:pPr>
        <w:widowControl w:val="0"/>
        <w:autoSpaceDE w:val="0"/>
        <w:autoSpaceDN w:val="0"/>
        <w:adjustRightInd w:val="0"/>
        <w:ind w:left="113"/>
        <w:rPr>
          <w:rFonts w:ascii="sans-serif" w:hAnsi="sans-serif" w:cs="sans-serif"/>
          <w:color w:val="000000"/>
          <w:sz w:val="19"/>
          <w:szCs w:val="19"/>
        </w:rPr>
      </w:pPr>
    </w:p>
    <w:p w:rsidR="00000000" w:rsidRDefault="006D5C74">
      <w:pPr>
        <w:widowControl w:val="0"/>
        <w:autoSpaceDE w:val="0"/>
        <w:autoSpaceDN w:val="0"/>
        <w:adjustRightInd w:val="0"/>
        <w:rPr>
          <w:rFonts w:ascii="sans-serif" w:hAnsi="sans-serif" w:cs="sans-serif"/>
          <w:color w:val="000000"/>
        </w:rPr>
      </w:pPr>
    </w:p>
    <w:p w:rsidR="00000000" w:rsidRDefault="006D5C7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000000">
          <w:type w:val="continuous"/>
          <w:pgSz w:w="12240" w:h="15840"/>
          <w:pgMar w:top="1080" w:right="1080" w:bottom="1080" w:left="1080" w:header="720" w:footer="720" w:gutter="0"/>
          <w:cols w:space="720"/>
          <w:noEndnote/>
        </w:sectPr>
      </w:pPr>
    </w:p>
    <w:p w:rsidR="00000000" w:rsidRDefault="006D5C74">
      <w:pPr>
        <w:widowControl w:val="0"/>
        <w:autoSpaceDE w:val="0"/>
        <w:autoSpaceDN w:val="0"/>
        <w:adjustRightInd w:val="0"/>
        <w:jc w:val="center"/>
        <w:rPr>
          <w:rFonts w:ascii="sans-serif" w:hAnsi="sans-serif" w:cs="sans-serif"/>
          <w:b/>
          <w:bCs/>
          <w:color w:val="000000"/>
        </w:rPr>
      </w:pPr>
      <w:r>
        <w:rPr>
          <w:rFonts w:ascii="sans-serif" w:hAnsi="sans-serif" w:cs="sans-serif"/>
          <w:b/>
          <w:bCs/>
          <w:color w:val="000000"/>
        </w:rPr>
        <w:lastRenderedPageBreak/>
        <w:t>History</w:t>
      </w:r>
    </w:p>
    <w:p w:rsidR="00000000" w:rsidRDefault="006D5C74">
      <w:pPr>
        <w:widowControl w:val="0"/>
        <w:autoSpaceDE w:val="0"/>
        <w:autoSpaceDN w:val="0"/>
        <w:adjustRightInd w:val="0"/>
        <w:rPr>
          <w:rFonts w:ascii="sans-serif" w:hAnsi="sans-serif" w:cs="sans-serif"/>
          <w:color w:val="000000"/>
        </w:rPr>
      </w:pPr>
    </w:p>
    <w:p w:rsidR="00000000" w:rsidRDefault="006D5C7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000000">
          <w:type w:val="continuous"/>
          <w:pgSz w:w="12240" w:h="15840"/>
          <w:pgMar w:top="1080" w:right="1080" w:bottom="1080" w:left="1080" w:header="720" w:footer="720" w:gutter="0"/>
          <w:cols w:space="720"/>
          <w:noEndnote/>
        </w:sectPr>
      </w:pPr>
    </w:p>
    <w:p w:rsidR="00000000" w:rsidRDefault="006D5C74">
      <w:pPr>
        <w:widowControl w:val="0"/>
        <w:autoSpaceDE w:val="0"/>
        <w:autoSpaceDN w:val="0"/>
        <w:adjustRightInd w:val="0"/>
        <w:spacing w:after="200"/>
        <w:rPr>
          <w:rFonts w:ascii="sans-serif" w:hAnsi="sans-serif" w:cs="sans-serif"/>
          <w:color w:val="000000"/>
        </w:rPr>
      </w:pPr>
      <w:r>
        <w:rPr>
          <w:rFonts w:ascii="sans-serif" w:hAnsi="sans-serif" w:cs="sans-serif"/>
          <w:color w:val="000000"/>
        </w:rPr>
        <w:lastRenderedPageBreak/>
        <w:t>No references satisfied your KeyCite Alert History request.</w:t>
      </w:r>
    </w:p>
    <w:p w:rsidR="00000000" w:rsidRDefault="006D5C74">
      <w:pPr>
        <w:widowControl w:val="0"/>
        <w:autoSpaceDE w:val="0"/>
        <w:autoSpaceDN w:val="0"/>
        <w:adjustRightInd w:val="0"/>
        <w:rPr>
          <w:rFonts w:ascii="sans-serif" w:hAnsi="sans-serif" w:cs="sans-serif"/>
          <w:color w:val="000000"/>
        </w:rPr>
      </w:pPr>
    </w:p>
    <w:p w:rsidR="00000000" w:rsidRDefault="006D5C7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000000">
          <w:type w:val="continuous"/>
          <w:pgSz w:w="12240" w:h="15840"/>
          <w:pgMar w:top="1080" w:right="1080" w:bottom="1080" w:left="1080" w:header="720" w:footer="720" w:gutter="0"/>
          <w:cols w:space="720"/>
          <w:noEndnote/>
        </w:sectPr>
      </w:pPr>
    </w:p>
    <w:p w:rsidR="00000000" w:rsidRDefault="006D5C74">
      <w:pPr>
        <w:widowControl w:val="0"/>
        <w:autoSpaceDE w:val="0"/>
        <w:autoSpaceDN w:val="0"/>
        <w:adjustRightInd w:val="0"/>
        <w:spacing w:after="400"/>
        <w:jc w:val="center"/>
        <w:rPr>
          <w:rFonts w:ascii="sans-serif" w:hAnsi="sans-serif" w:cs="sans-serif"/>
          <w:b/>
          <w:bCs/>
          <w:color w:val="000000"/>
        </w:rPr>
      </w:pPr>
      <w:r>
        <w:rPr>
          <w:rFonts w:ascii="sans-serif" w:hAnsi="sans-serif" w:cs="sans-serif"/>
          <w:b/>
          <w:bCs/>
          <w:color w:val="000000"/>
        </w:rPr>
        <w:lastRenderedPageBreak/>
        <w:t>Citing References</w:t>
      </w:r>
    </w:p>
    <w:p w:rsidR="00000000" w:rsidRDefault="006D5C74">
      <w:pPr>
        <w:widowControl w:val="0"/>
        <w:autoSpaceDE w:val="0"/>
        <w:autoSpaceDN w:val="0"/>
        <w:adjustRightInd w:val="0"/>
        <w:rPr>
          <w:rFonts w:ascii="sans-serif" w:hAnsi="sans-serif" w:cs="sans-serif"/>
          <w:b/>
          <w:bCs/>
          <w:color w:val="000000"/>
        </w:rPr>
      </w:pPr>
    </w:p>
    <w:p w:rsidR="00000000" w:rsidRDefault="006D5C7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000000">
          <w:type w:val="continuous"/>
          <w:pgSz w:w="12240" w:h="15840"/>
          <w:pgMar w:top="1080" w:right="1080" w:bottom="1080" w:left="1080" w:header="720" w:footer="720" w:gutter="0"/>
          <w:cols w:space="720"/>
          <w:noEndnote/>
        </w:sectPr>
      </w:pPr>
    </w:p>
    <w:p w:rsidR="00000000" w:rsidRDefault="006D5C74">
      <w:pPr>
        <w:widowControl w:val="0"/>
        <w:autoSpaceDE w:val="0"/>
        <w:autoSpaceDN w:val="0"/>
        <w:adjustRightInd w:val="0"/>
        <w:spacing w:after="340"/>
        <w:rPr>
          <w:rFonts w:ascii="sans-serif" w:hAnsi="sans-serif" w:cs="sans-serif"/>
          <w:b/>
          <w:bCs/>
          <w:color w:val="000000"/>
        </w:rPr>
      </w:pPr>
      <w:r>
        <w:rPr>
          <w:rFonts w:ascii="sans-serif" w:hAnsi="sans-serif" w:cs="sans-serif"/>
          <w:b/>
          <w:bCs/>
          <w:color w:val="000000"/>
        </w:rPr>
        <w:lastRenderedPageBreak/>
        <w:t>Citing References (3)</w:t>
      </w:r>
    </w:p>
    <w:p w:rsidR="00000000" w:rsidRDefault="006D5C74">
      <w:pPr>
        <w:widowControl w:val="0"/>
        <w:autoSpaceDE w:val="0"/>
        <w:autoSpaceDN w:val="0"/>
        <w:adjustRightInd w:val="0"/>
        <w:rPr>
          <w:rFonts w:ascii="sans-serif" w:hAnsi="sans-serif" w:cs="sans-serif"/>
          <w:color w:val="000000"/>
        </w:rPr>
      </w:pPr>
    </w:p>
    <w:p w:rsidR="00000000" w:rsidRDefault="006D5C7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000000">
          <w:type w:val="continuous"/>
          <w:pgSz w:w="12240" w:h="15840"/>
          <w:pgMar w:top="1080" w:right="1080" w:bottom="1080" w:left="1080" w:header="720" w:footer="720" w:gutter="0"/>
          <w:cols w:space="720"/>
          <w:noEndnote/>
        </w:sect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6"/>
        <w:gridCol w:w="4032"/>
        <w:gridCol w:w="1224"/>
        <w:gridCol w:w="1296"/>
        <w:gridCol w:w="792"/>
        <w:gridCol w:w="14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96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0000" w:rsidRDefault="006D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sz w:val="17"/>
                <w:szCs w:val="17"/>
              </w:rPr>
              <w:lastRenderedPageBreak/>
              <w:t>Treatment</w:t>
            </w:r>
          </w:p>
        </w:tc>
        <w:tc>
          <w:tcPr>
            <w:tcW w:w="4032" w:type="dxa"/>
            <w:tcBorders>
              <w:top w:val="single" w:sz="8" w:space="0" w:color="CBCBCB"/>
              <w:left w:val="nil"/>
              <w:bottom w:val="single" w:sz="8" w:space="0" w:color="CBCBCB"/>
              <w:right w:val="single" w:sz="8" w:space="0" w:color="CBCBCB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0000" w:rsidRDefault="006D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sz w:val="17"/>
                <w:szCs w:val="17"/>
              </w:rPr>
              <w:t>Title</w:t>
            </w:r>
          </w:p>
        </w:tc>
        <w:tc>
          <w:tcPr>
            <w:tcW w:w="1224" w:type="dxa"/>
            <w:tcBorders>
              <w:top w:val="single" w:sz="8" w:space="0" w:color="CBCBCB"/>
              <w:left w:val="nil"/>
              <w:bottom w:val="single" w:sz="8" w:space="0" w:color="CBCBCB"/>
              <w:right w:val="single" w:sz="8" w:space="0" w:color="CBCBCB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0000" w:rsidRDefault="006D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sz w:val="17"/>
                <w:szCs w:val="17"/>
              </w:rPr>
              <w:t>Date</w:t>
            </w:r>
          </w:p>
        </w:tc>
        <w:tc>
          <w:tcPr>
            <w:tcW w:w="1296" w:type="dxa"/>
            <w:tcBorders>
              <w:top w:val="single" w:sz="8" w:space="0" w:color="CBCBCB"/>
              <w:left w:val="nil"/>
              <w:bottom w:val="single" w:sz="8" w:space="0" w:color="CBCBCB"/>
              <w:right w:val="single" w:sz="8" w:space="0" w:color="CBCBCB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0000" w:rsidRDefault="006D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sz w:val="17"/>
                <w:szCs w:val="17"/>
              </w:rPr>
              <w:t>Type</w:t>
            </w:r>
          </w:p>
        </w:tc>
        <w:tc>
          <w:tcPr>
            <w:tcW w:w="792" w:type="dxa"/>
            <w:tcBorders>
              <w:top w:val="single" w:sz="8" w:space="0" w:color="CBCBCB"/>
              <w:left w:val="nil"/>
              <w:bottom w:val="single" w:sz="8" w:space="0" w:color="CBCBCB"/>
              <w:right w:val="single" w:sz="8" w:space="0" w:color="CBCBCB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0000" w:rsidRDefault="006D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sz w:val="17"/>
                <w:szCs w:val="17"/>
              </w:rPr>
              <w:t>Depth</w:t>
            </w:r>
          </w:p>
        </w:tc>
        <w:tc>
          <w:tcPr>
            <w:tcW w:w="1440" w:type="dxa"/>
            <w:tcBorders>
              <w:top w:val="single" w:sz="8" w:space="0" w:color="CBCBCB"/>
              <w:left w:val="nil"/>
              <w:bottom w:val="single" w:sz="8" w:space="0" w:color="CBCBCB"/>
              <w:right w:val="single" w:sz="8" w:space="0" w:color="CBCBCB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0000" w:rsidRDefault="006D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sz w:val="17"/>
                <w:szCs w:val="17"/>
              </w:rPr>
              <w:t>Headnote(s)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96" w:type="dxa"/>
            <w:tcBorders>
              <w:top w:val="nil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0000" w:rsidRDefault="006D5C74">
            <w:pPr>
              <w:widowControl w:val="0"/>
              <w:autoSpaceDE w:val="0"/>
              <w:autoSpaceDN w:val="0"/>
              <w:adjustRightInd w:val="0"/>
              <w:rPr>
                <w:rFonts w:ascii="sans-serif" w:hAnsi="sans-serif" w:cs="sans-serif"/>
                <w:color w:val="000000"/>
                <w:sz w:val="17"/>
                <w:szCs w:val="17"/>
              </w:rPr>
            </w:pPr>
            <w:r>
              <w:rPr>
                <w:rFonts w:ascii="sans-serif" w:hAnsi="sans-serif" w:cs="sans-serif"/>
                <w:color w:val="000000"/>
                <w:sz w:val="17"/>
                <w:szCs w:val="17"/>
              </w:rPr>
              <w:t>Declined to Extend by</w:t>
            </w:r>
          </w:p>
          <w:p w:rsidR="00000000" w:rsidRDefault="006D5C74">
            <w:pPr>
              <w:widowControl w:val="0"/>
              <w:autoSpaceDE w:val="0"/>
              <w:autoSpaceDN w:val="0"/>
              <w:adjustRightInd w:val="0"/>
              <w:rPr>
                <w:rFonts w:ascii="sans-serif" w:hAnsi="sans-serif" w:cs="sans-serif"/>
                <w:color w:val="000000"/>
                <w:sz w:val="17"/>
                <w:szCs w:val="17"/>
              </w:rPr>
            </w:pPr>
            <w:r>
              <w:rPr>
                <w:rFonts w:ascii="sans-serif" w:hAnsi="sans-serif" w:cs="sans-serif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381000" cy="88900"/>
                  <wp:effectExtent l="0" t="0" r="0" b="1270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8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CBCBCB"/>
              <w:right w:val="single" w:sz="8" w:space="0" w:color="CBCBC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0000" w:rsidRDefault="006D5C74">
            <w:pPr>
              <w:widowControl w:val="0"/>
              <w:autoSpaceDE w:val="0"/>
              <w:autoSpaceDN w:val="0"/>
              <w:adjustRightInd w:val="0"/>
              <w:rPr>
                <w:rFonts w:ascii="sans-serif" w:hAnsi="sans-serif" w:cs="sans-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sz w:val="17"/>
                <w:szCs w:val="17"/>
              </w:rPr>
              <w:t xml:space="preserve">1. </w:t>
            </w:r>
            <w:hyperlink r:id="rId13" w:history="1">
              <w:r>
                <w:rPr>
                  <w:rFonts w:ascii="sans-serif" w:hAnsi="sans-serif" w:cs="sans-serif"/>
                  <w:b/>
                  <w:bCs/>
                  <w:color w:val="0000FF"/>
                  <w:sz w:val="17"/>
                  <w:szCs w:val="17"/>
                </w:rPr>
                <w:t xml:space="preserve"> Michigan Catholic Conference and Catholic Family Services v. Burwell</w:t>
              </w:r>
            </w:hyperlink>
            <w:r>
              <w:rPr>
                <w:rFonts w:ascii="sans-serif" w:hAnsi="sans-serif" w:cs="sans-serif"/>
                <w:b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sans-serif" w:hAnsi="sans-serif" w:cs="sans-serif"/>
                <w:b/>
                <w:bCs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114300" cy="101600"/>
                  <wp:effectExtent l="0" t="0" r="1270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6D5C74">
            <w:pPr>
              <w:widowControl w:val="0"/>
              <w:autoSpaceDE w:val="0"/>
              <w:autoSpaceDN w:val="0"/>
              <w:adjustRightInd w:val="0"/>
              <w:rPr>
                <w:rFonts w:ascii="sans-serif" w:hAnsi="sans-serif" w:cs="sans-serif"/>
                <w:color w:val="000000"/>
                <w:sz w:val="17"/>
                <w:szCs w:val="17"/>
              </w:rPr>
            </w:pPr>
            <w:r>
              <w:rPr>
                <w:rFonts w:ascii="sans-serif" w:hAnsi="sans-serif" w:cs="sans-serif"/>
                <w:color w:val="000000"/>
                <w:sz w:val="17"/>
                <w:szCs w:val="17"/>
              </w:rPr>
              <w:t>--- F.3d ----+ , 2015 WL 4979692, *1+ , 6th Cir.(Mich.) , (NO. 13-2723 , 13-6640 )</w:t>
            </w:r>
          </w:p>
          <w:p w:rsidR="00000000" w:rsidRDefault="006D5C74">
            <w:pPr>
              <w:widowControl w:val="0"/>
              <w:autoSpaceDE w:val="0"/>
              <w:autoSpaceDN w:val="0"/>
              <w:adjustRightInd w:val="0"/>
              <w:spacing w:before="113"/>
              <w:rPr>
                <w:rFonts w:ascii="sans-serif" w:hAnsi="sans-serif" w:cs="sans-serif"/>
                <w:color w:val="000000"/>
                <w:sz w:val="17"/>
                <w:szCs w:val="17"/>
              </w:rPr>
            </w:pPr>
            <w:r>
              <w:rPr>
                <w:rFonts w:ascii="sans-serif" w:hAnsi="sans-serif" w:cs="sans-serif"/>
                <w:color w:val="000000"/>
                <w:sz w:val="17"/>
                <w:szCs w:val="17"/>
              </w:rPr>
              <w:t>FAMILY LAW - Birth Control. Non-profit religious employers were not entitled to preliminary injunction prohibiting government from enforc</w:t>
            </w:r>
            <w:r>
              <w:rPr>
                <w:rFonts w:ascii="sans-serif" w:hAnsi="sans-serif" w:cs="sans-serif"/>
                <w:color w:val="000000"/>
                <w:sz w:val="17"/>
                <w:szCs w:val="17"/>
              </w:rPr>
              <w:t>ing ACA’s accommodation provision.</w:t>
            </w:r>
          </w:p>
          <w:p w:rsidR="00000000" w:rsidRDefault="006D5C74">
            <w:pPr>
              <w:widowControl w:val="0"/>
              <w:autoSpaceDE w:val="0"/>
              <w:autoSpaceDN w:val="0"/>
              <w:adjustRightInd w:val="0"/>
              <w:spacing w:before="113"/>
              <w:rPr>
                <w:rFonts w:ascii="sans-serif" w:hAnsi="sans-serif" w:cs="sans-serif"/>
                <w:color w:val="000000"/>
                <w:sz w:val="17"/>
                <w:szCs w:val="17"/>
              </w:rPr>
            </w:pPr>
            <w:hyperlink r:id="rId15" w:history="1">
              <w:r>
                <w:rPr>
                  <w:rFonts w:ascii="sans-serif" w:hAnsi="sans-serif" w:cs="sans-serif"/>
                  <w:color w:val="0000FF"/>
                  <w:sz w:val="17"/>
                  <w:szCs w:val="17"/>
                </w:rPr>
                <w:t>... The Court of Appeals, Karen Nelson Moore, Circu</w:t>
              </w:r>
              <w:r>
                <w:rPr>
                  <w:rFonts w:ascii="sans-serif" w:hAnsi="sans-serif" w:cs="sans-serif"/>
                  <w:color w:val="0000FF"/>
                  <w:sz w:val="17"/>
                  <w:szCs w:val="17"/>
                </w:rPr>
                <w:t xml:space="preserve">it Judge, 755 F.3d 372, affirmed. Employers petitioned for writ of certiorari. The Supreme Court, Justice Alito </w:t>
              </w:r>
              <w:r>
                <w:rPr>
                  <w:rFonts w:ascii="sans-serif" w:hAnsi="sans-serif" w:cs="sans-serif"/>
                  <w:color w:val="0000FF"/>
                  <w:sz w:val="17"/>
                  <w:szCs w:val="17"/>
                  <w:shd w:val="clear" w:color="auto" w:fill="FFFF66"/>
                </w:rPr>
                <w:t>134 S.Ct. 2751</w:t>
              </w:r>
              <w:r>
                <w:rPr>
                  <w:rFonts w:ascii="sans-serif" w:hAnsi="sans-serif" w:cs="sans-serif"/>
                  <w:color w:val="0000FF"/>
                  <w:sz w:val="17"/>
                  <w:szCs w:val="17"/>
                </w:rPr>
                <w:t xml:space="preserve">  vacated and remanded.Holdings: The Court of Appeals, Karen Nelson Moore, Circuit Judge, held that:6(1) non-profit employers that</w:t>
              </w:r>
              <w:r>
                <w:rPr>
                  <w:rFonts w:ascii="sans-serif" w:hAnsi="sans-serif" w:cs="sans-serif"/>
                  <w:color w:val="0000FF"/>
                  <w:sz w:val="17"/>
                  <w:szCs w:val="17"/>
                </w:rPr>
                <w:t xml:space="preserve"> offered fully ...</w:t>
              </w:r>
            </w:hyperlink>
          </w:p>
          <w:p w:rsidR="00000000" w:rsidRDefault="006D5C74">
            <w:pPr>
              <w:widowControl w:val="0"/>
              <w:autoSpaceDE w:val="0"/>
              <w:autoSpaceDN w:val="0"/>
              <w:adjustRightInd w:val="0"/>
              <w:spacing w:before="113"/>
              <w:rPr>
                <w:rFonts w:ascii="sans-serif" w:hAnsi="sans-serif" w:cs="sans-serif"/>
                <w:color w:val="000000"/>
                <w:sz w:val="17"/>
                <w:szCs w:val="17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CBCBCB"/>
              <w:right w:val="single" w:sz="8" w:space="0" w:color="CBCBC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0000" w:rsidRDefault="006D5C74">
            <w:pPr>
              <w:widowControl w:val="0"/>
              <w:autoSpaceDE w:val="0"/>
              <w:autoSpaceDN w:val="0"/>
              <w:adjustRightInd w:val="0"/>
              <w:rPr>
                <w:rFonts w:ascii="sans-serif" w:hAnsi="sans-serif" w:cs="sans-serif"/>
                <w:color w:val="000000"/>
                <w:sz w:val="17"/>
                <w:szCs w:val="17"/>
              </w:rPr>
            </w:pPr>
            <w:r>
              <w:rPr>
                <w:rFonts w:ascii="sans-serif" w:hAnsi="sans-serif" w:cs="sans-serif"/>
                <w:color w:val="000000"/>
                <w:sz w:val="17"/>
                <w:szCs w:val="17"/>
              </w:rPr>
              <w:t>Aug. 21, 2015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BCBCB"/>
              <w:right w:val="single" w:sz="8" w:space="0" w:color="CBCBC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0000" w:rsidRDefault="006D5C74">
            <w:pPr>
              <w:widowControl w:val="0"/>
              <w:autoSpaceDE w:val="0"/>
              <w:autoSpaceDN w:val="0"/>
              <w:adjustRightInd w:val="0"/>
              <w:rPr>
                <w:rFonts w:ascii="sans-serif" w:hAnsi="sans-serif" w:cs="sans-serif"/>
                <w:color w:val="000000"/>
                <w:sz w:val="17"/>
                <w:szCs w:val="17"/>
              </w:rPr>
            </w:pPr>
            <w:r>
              <w:rPr>
                <w:rFonts w:ascii="sans-serif" w:hAnsi="sans-serif" w:cs="sans-serif"/>
                <w:color w:val="000000"/>
                <w:sz w:val="17"/>
                <w:szCs w:val="17"/>
              </w:rPr>
              <w:t>Case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CBCBCB"/>
              <w:right w:val="single" w:sz="8" w:space="0" w:color="CBCBC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0000" w:rsidRDefault="006D5C74">
            <w:pPr>
              <w:widowControl w:val="0"/>
              <w:autoSpaceDE w:val="0"/>
              <w:autoSpaceDN w:val="0"/>
              <w:adjustRightInd w:val="0"/>
              <w:rPr>
                <w:rFonts w:ascii="sans-serif" w:hAnsi="sans-serif" w:cs="sans-serif"/>
                <w:color w:val="000000"/>
                <w:sz w:val="17"/>
                <w:szCs w:val="17"/>
              </w:rPr>
            </w:pPr>
            <w:r>
              <w:rPr>
                <w:rFonts w:ascii="sans-serif" w:hAnsi="sans-serif" w:cs="sans-serif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444500" cy="114300"/>
                  <wp:effectExtent l="0" t="0" r="12700" b="1270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CBCBCB"/>
              <w:right w:val="single" w:sz="8" w:space="0" w:color="CBCBCB"/>
            </w:tcBorders>
            <w:tcMar>
              <w:top w:w="8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0"/>
              <w:gridCol w:w="115"/>
              <w:gridCol w:w="360"/>
              <w:gridCol w:w="115"/>
              <w:gridCol w:w="360"/>
              <w:gridCol w:w="30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360" w:type="dxa"/>
                  <w:tcBorders>
                    <w:top w:val="single" w:sz="8" w:space="0" w:color="B3DAFF"/>
                    <w:left w:val="single" w:sz="8" w:space="0" w:color="B3DAFF"/>
                    <w:bottom w:val="single" w:sz="8" w:space="0" w:color="B3DAFF"/>
                    <w:right w:val="single" w:sz="8" w:space="0" w:color="B3DAFF"/>
                  </w:tcBorders>
                  <w:shd w:val="clear" w:color="auto" w:fill="E5F3FF"/>
                </w:tcPr>
                <w:p w:rsidR="00000000" w:rsidRDefault="006D5C7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sans-serif" w:hAnsi="sans-serif" w:cs="sans-serif"/>
                      <w:color w:val="000000"/>
                      <w:sz w:val="14"/>
                      <w:szCs w:val="14"/>
                    </w:rPr>
                  </w:pPr>
                  <w:hyperlink r:id="rId17" w:history="1">
                    <w:r>
                      <w:rPr>
                        <w:rFonts w:ascii="sans-serif" w:hAnsi="sans-serif" w:cs="sans-serif"/>
                        <w:color w:val="0000FF"/>
                        <w:sz w:val="14"/>
                        <w:szCs w:val="14"/>
                      </w:rPr>
                      <w:t>11</w:t>
                    </w:r>
                  </w:hyperlink>
                </w:p>
              </w:tc>
              <w:tc>
                <w:tcPr>
                  <w:tcW w:w="115" w:type="dxa"/>
                </w:tcPr>
                <w:p w:rsidR="00000000" w:rsidRDefault="006D5C7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sans-serif" w:hAnsi="sans-serif" w:cs="sans-serif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8" w:space="0" w:color="B3DAFF"/>
                    <w:left w:val="single" w:sz="8" w:space="0" w:color="B3DAFF"/>
                    <w:bottom w:val="single" w:sz="8" w:space="0" w:color="B3DAFF"/>
                    <w:right w:val="single" w:sz="8" w:space="0" w:color="B3DAFF"/>
                  </w:tcBorders>
                  <w:shd w:val="clear" w:color="auto" w:fill="E5F3FF"/>
                </w:tcPr>
                <w:p w:rsidR="00000000" w:rsidRDefault="006D5C7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sans-serif" w:hAnsi="sans-serif" w:cs="sans-serif"/>
                      <w:color w:val="000000"/>
                      <w:sz w:val="14"/>
                      <w:szCs w:val="14"/>
                    </w:rPr>
                  </w:pPr>
                  <w:hyperlink r:id="rId18" w:history="1">
                    <w:r>
                      <w:rPr>
                        <w:rFonts w:ascii="sans-serif" w:hAnsi="sans-serif" w:cs="sans-serif"/>
                        <w:color w:val="0000FF"/>
                        <w:sz w:val="14"/>
                        <w:szCs w:val="14"/>
                      </w:rPr>
                      <w:t>14</w:t>
                    </w:r>
                  </w:hyperlink>
                </w:p>
              </w:tc>
              <w:tc>
                <w:tcPr>
                  <w:tcW w:w="115" w:type="dxa"/>
                </w:tcPr>
                <w:p w:rsidR="00000000" w:rsidRDefault="006D5C7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sans-serif" w:hAnsi="sans-serif" w:cs="sans-serif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8" w:space="0" w:color="B3DAFF"/>
                    <w:left w:val="single" w:sz="8" w:space="0" w:color="B3DAFF"/>
                    <w:bottom w:val="single" w:sz="8" w:space="0" w:color="B3DAFF"/>
                    <w:right w:val="single" w:sz="8" w:space="0" w:color="B3DAFF"/>
                  </w:tcBorders>
                  <w:shd w:val="clear" w:color="auto" w:fill="E5F3FF"/>
                </w:tcPr>
                <w:p w:rsidR="00000000" w:rsidRDefault="006D5C7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sans-serif" w:hAnsi="sans-serif" w:cs="sans-serif"/>
                      <w:color w:val="000000"/>
                      <w:sz w:val="14"/>
                      <w:szCs w:val="14"/>
                    </w:rPr>
                  </w:pPr>
                  <w:hyperlink r:id="rId19" w:history="1">
                    <w:r>
                      <w:rPr>
                        <w:rFonts w:ascii="sans-serif" w:hAnsi="sans-serif" w:cs="sans-serif"/>
                        <w:color w:val="0000FF"/>
                        <w:sz w:val="14"/>
                        <w:szCs w:val="14"/>
                      </w:rPr>
                      <w:t>18</w:t>
                    </w:r>
                  </w:hyperlink>
                </w:p>
              </w:tc>
              <w:tc>
                <w:tcPr>
                  <w:tcW w:w="14" w:type="dxa"/>
                </w:tcPr>
                <w:p w:rsidR="00000000" w:rsidRDefault="006D5C7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sans-serif" w:hAnsi="sans-serif" w:cs="sans-serif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:rsidR="00000000" w:rsidRDefault="006D5C74">
            <w:pPr>
              <w:widowControl w:val="0"/>
              <w:autoSpaceDE w:val="0"/>
              <w:autoSpaceDN w:val="0"/>
              <w:adjustRightInd w:val="0"/>
              <w:spacing w:before="113"/>
              <w:rPr>
                <w:rFonts w:ascii="sans-serif" w:hAnsi="sans-serif" w:cs="sans-serif"/>
                <w:color w:val="000000"/>
                <w:sz w:val="17"/>
                <w:szCs w:val="17"/>
              </w:rPr>
            </w:pPr>
            <w:r>
              <w:rPr>
                <w:rFonts w:ascii="sans-serif" w:hAnsi="sans-serif" w:cs="sans-serif"/>
                <w:color w:val="000000"/>
                <w:sz w:val="17"/>
                <w:szCs w:val="17"/>
              </w:rPr>
              <w:t>S.Ct.</w:t>
            </w:r>
          </w:p>
          <w:p w:rsidR="00000000" w:rsidRDefault="006D5C74">
            <w:pPr>
              <w:widowControl w:val="0"/>
              <w:autoSpaceDE w:val="0"/>
              <w:autoSpaceDN w:val="0"/>
              <w:adjustRightInd w:val="0"/>
              <w:spacing w:before="113"/>
              <w:rPr>
                <w:rFonts w:ascii="sans-serif" w:hAnsi="sans-serif" w:cs="sans-serif"/>
                <w:color w:val="000000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96" w:type="dxa"/>
            <w:tcBorders>
              <w:top w:val="nil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0000" w:rsidRDefault="006D5C74">
            <w:pPr>
              <w:widowControl w:val="0"/>
              <w:autoSpaceDE w:val="0"/>
              <w:autoSpaceDN w:val="0"/>
              <w:adjustRightInd w:val="0"/>
              <w:rPr>
                <w:rFonts w:ascii="sans-serif" w:hAnsi="sans-serif" w:cs="sans-serif"/>
                <w:color w:val="000000"/>
                <w:sz w:val="17"/>
                <w:szCs w:val="17"/>
              </w:rPr>
            </w:pPr>
            <w:r>
              <w:rPr>
                <w:rFonts w:ascii="sans-serif" w:hAnsi="sans-serif" w:cs="sans-serif"/>
                <w:color w:val="000000"/>
                <w:sz w:val="17"/>
                <w:szCs w:val="17"/>
              </w:rPr>
              <w:lastRenderedPageBreak/>
              <w:t>Discussed by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CBCBCB"/>
              <w:right w:val="single" w:sz="8" w:space="0" w:color="CBCBC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0000" w:rsidRDefault="006D5C74">
            <w:pPr>
              <w:widowControl w:val="0"/>
              <w:autoSpaceDE w:val="0"/>
              <w:autoSpaceDN w:val="0"/>
              <w:adjustRightInd w:val="0"/>
              <w:rPr>
                <w:rFonts w:ascii="sans-serif" w:hAnsi="sans-serif" w:cs="sans-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sz w:val="17"/>
                <w:szCs w:val="17"/>
              </w:rPr>
              <w:t xml:space="preserve">2. </w:t>
            </w:r>
            <w:hyperlink r:id="rId20" w:history="1">
              <w:r>
                <w:rPr>
                  <w:rFonts w:ascii="sans-serif" w:hAnsi="sans-serif" w:cs="sans-serif"/>
                  <w:b/>
                  <w:bCs/>
                  <w:color w:val="0000FF"/>
                  <w:sz w:val="17"/>
                  <w:szCs w:val="17"/>
                </w:rPr>
                <w:t xml:space="preserve"> In re Congregation Birchos Yosef</w:t>
              </w:r>
            </w:hyperlink>
            <w:r>
              <w:rPr>
                <w:rFonts w:ascii="sans-serif" w:hAnsi="sans-serif" w:cs="sans-serif"/>
                <w:b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sans-serif" w:hAnsi="sans-serif" w:cs="sans-serif"/>
                <w:b/>
                <w:bCs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114300" cy="101600"/>
                  <wp:effectExtent l="0" t="0" r="1270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6D5C74">
            <w:pPr>
              <w:widowControl w:val="0"/>
              <w:autoSpaceDE w:val="0"/>
              <w:autoSpaceDN w:val="0"/>
              <w:adjustRightInd w:val="0"/>
              <w:rPr>
                <w:rFonts w:ascii="sans-serif" w:hAnsi="sans-serif" w:cs="sans-serif"/>
                <w:color w:val="000000"/>
                <w:sz w:val="17"/>
                <w:szCs w:val="17"/>
              </w:rPr>
            </w:pPr>
            <w:r>
              <w:rPr>
                <w:rFonts w:ascii="sans-serif" w:hAnsi="sans-serif" w:cs="sans-serif"/>
                <w:color w:val="000000"/>
                <w:sz w:val="17"/>
                <w:szCs w:val="17"/>
              </w:rPr>
              <w:t>2015 WL 5012592, *5+ , Bkrtcy.S.D.N.Y. , (NO. 15-222</w:t>
            </w:r>
            <w:r>
              <w:rPr>
                <w:rFonts w:ascii="sans-serif" w:hAnsi="sans-serif" w:cs="sans-serif"/>
                <w:color w:val="000000"/>
                <w:sz w:val="17"/>
                <w:szCs w:val="17"/>
              </w:rPr>
              <w:t>54 (RDD) )</w:t>
            </w:r>
          </w:p>
          <w:p w:rsidR="00000000" w:rsidRDefault="006D5C74">
            <w:pPr>
              <w:widowControl w:val="0"/>
              <w:autoSpaceDE w:val="0"/>
              <w:autoSpaceDN w:val="0"/>
              <w:adjustRightInd w:val="0"/>
              <w:spacing w:before="113"/>
              <w:rPr>
                <w:rFonts w:ascii="sans-serif" w:hAnsi="sans-serif" w:cs="sans-serif"/>
                <w:color w:val="000000"/>
                <w:sz w:val="17"/>
                <w:szCs w:val="17"/>
              </w:rPr>
            </w:pPr>
            <w:r>
              <w:rPr>
                <w:rFonts w:ascii="sans-serif" w:hAnsi="sans-serif" w:cs="sans-serif"/>
                <w:color w:val="000000"/>
                <w:sz w:val="17"/>
                <w:szCs w:val="17"/>
              </w:rPr>
              <w:t>This Memorandum of Decision amends and supersedes the Court’s bench ruling, issued at the end of the July 1, 2015 hearing on a motion (the ?Motion?) of the debtor and debtor in...</w:t>
            </w:r>
          </w:p>
          <w:p w:rsidR="00000000" w:rsidRDefault="006D5C74">
            <w:pPr>
              <w:widowControl w:val="0"/>
              <w:autoSpaceDE w:val="0"/>
              <w:autoSpaceDN w:val="0"/>
              <w:adjustRightInd w:val="0"/>
              <w:spacing w:before="113"/>
              <w:rPr>
                <w:rFonts w:ascii="sans-serif" w:hAnsi="sans-serif" w:cs="sans-serif"/>
                <w:color w:val="000000"/>
                <w:sz w:val="17"/>
                <w:szCs w:val="17"/>
              </w:rPr>
            </w:pPr>
            <w:hyperlink r:id="rId21" w:history="1">
              <w:r>
                <w:rPr>
                  <w:rFonts w:ascii="sans-serif" w:hAnsi="sans-serif" w:cs="sans-serif"/>
                  <w:color w:val="0000FF"/>
                  <w:sz w:val="17"/>
                  <w:szCs w:val="17"/>
                </w:rPr>
                <w:t xml:space="preserve">... Human Resources of Oregon v. Smith, 494 U.S. 872, 878?79, 110 S.Ct. 1595, 108 L.Ed.2d 876 (1990), which was cited last year in </w:t>
              </w:r>
              <w:r>
                <w:rPr>
                  <w:rFonts w:ascii="sans-serif" w:hAnsi="sans-serif" w:cs="sans-serif"/>
                  <w:color w:val="0000FF"/>
                  <w:sz w:val="17"/>
                  <w:szCs w:val="17"/>
                  <w:shd w:val="clear" w:color="auto" w:fill="FFFF66"/>
                </w:rPr>
                <w:t>Burwell v. Hobby Lob</w:t>
              </w:r>
              <w:r>
                <w:rPr>
                  <w:rFonts w:ascii="sans-serif" w:hAnsi="sans-serif" w:cs="sans-serif"/>
                  <w:color w:val="0000FF"/>
                  <w:sz w:val="17"/>
                  <w:szCs w:val="17"/>
                  <w:shd w:val="clear" w:color="auto" w:fill="FFFF66"/>
                </w:rPr>
                <w:t>by Stores, Inc., ??? U.S. ????, 134 S.Ct. 2751, 189 L.Ed.2d 675 (2014</w:t>
              </w:r>
              <w:r>
                <w:rPr>
                  <w:rFonts w:ascii="sans-serif" w:hAnsi="sans-serif" w:cs="sans-serif"/>
                  <w:color w:val="0000FF"/>
                  <w:sz w:val="17"/>
                  <w:szCs w:val="17"/>
                </w:rPr>
                <w:t xml:space="preserve">  ), as having rejected the Court’s ‘’balancing’’ test set forth in Sherbert ...</w:t>
              </w:r>
            </w:hyperlink>
          </w:p>
          <w:p w:rsidR="00000000" w:rsidRDefault="006D5C74">
            <w:pPr>
              <w:widowControl w:val="0"/>
              <w:autoSpaceDE w:val="0"/>
              <w:autoSpaceDN w:val="0"/>
              <w:adjustRightInd w:val="0"/>
              <w:spacing w:before="113"/>
              <w:rPr>
                <w:rFonts w:ascii="sans-serif" w:hAnsi="sans-serif" w:cs="sans-serif"/>
                <w:color w:val="000000"/>
                <w:sz w:val="17"/>
                <w:szCs w:val="17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CBCBCB"/>
              <w:right w:val="single" w:sz="8" w:space="0" w:color="CBCBC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0000" w:rsidRDefault="006D5C74">
            <w:pPr>
              <w:widowControl w:val="0"/>
              <w:autoSpaceDE w:val="0"/>
              <w:autoSpaceDN w:val="0"/>
              <w:adjustRightInd w:val="0"/>
              <w:rPr>
                <w:rFonts w:ascii="sans-serif" w:hAnsi="sans-serif" w:cs="sans-serif"/>
                <w:color w:val="000000"/>
                <w:sz w:val="17"/>
                <w:szCs w:val="17"/>
              </w:rPr>
            </w:pPr>
            <w:r>
              <w:rPr>
                <w:rFonts w:ascii="sans-serif" w:hAnsi="sans-serif" w:cs="sans-serif"/>
                <w:color w:val="000000"/>
                <w:sz w:val="17"/>
                <w:szCs w:val="17"/>
              </w:rPr>
              <w:t>Aug. 24, 2015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BCBCB"/>
              <w:right w:val="single" w:sz="8" w:space="0" w:color="CBCBC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0000" w:rsidRDefault="006D5C74">
            <w:pPr>
              <w:widowControl w:val="0"/>
              <w:autoSpaceDE w:val="0"/>
              <w:autoSpaceDN w:val="0"/>
              <w:adjustRightInd w:val="0"/>
              <w:rPr>
                <w:rFonts w:ascii="sans-serif" w:hAnsi="sans-serif" w:cs="sans-serif"/>
                <w:color w:val="000000"/>
                <w:sz w:val="17"/>
                <w:szCs w:val="17"/>
              </w:rPr>
            </w:pPr>
            <w:r>
              <w:rPr>
                <w:rFonts w:ascii="sans-serif" w:hAnsi="sans-serif" w:cs="sans-serif"/>
                <w:color w:val="000000"/>
                <w:sz w:val="17"/>
                <w:szCs w:val="17"/>
              </w:rPr>
              <w:t>Case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CBCBCB"/>
              <w:right w:val="single" w:sz="8" w:space="0" w:color="CBCBC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0000" w:rsidRDefault="006D5C74">
            <w:pPr>
              <w:widowControl w:val="0"/>
              <w:autoSpaceDE w:val="0"/>
              <w:autoSpaceDN w:val="0"/>
              <w:adjustRightInd w:val="0"/>
              <w:rPr>
                <w:rFonts w:ascii="sans-serif" w:hAnsi="sans-serif" w:cs="sans-serif"/>
                <w:color w:val="000000"/>
                <w:sz w:val="17"/>
                <w:szCs w:val="17"/>
              </w:rPr>
            </w:pPr>
            <w:r>
              <w:rPr>
                <w:rFonts w:ascii="sans-serif" w:hAnsi="sans-serif" w:cs="sans-serif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444500" cy="114300"/>
                  <wp:effectExtent l="0" t="0" r="12700" b="1270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CBCBCB"/>
              <w:right w:val="single" w:sz="8" w:space="0" w:color="CBCBCB"/>
            </w:tcBorders>
            <w:tcMar>
              <w:top w:w="8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0"/>
              <w:gridCol w:w="115"/>
              <w:gridCol w:w="360"/>
              <w:gridCol w:w="115"/>
              <w:gridCol w:w="360"/>
              <w:gridCol w:w="30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360" w:type="dxa"/>
                  <w:tcBorders>
                    <w:top w:val="single" w:sz="8" w:space="0" w:color="B3DAFF"/>
                    <w:left w:val="single" w:sz="8" w:space="0" w:color="B3DAFF"/>
                    <w:bottom w:val="single" w:sz="8" w:space="0" w:color="B3DAFF"/>
                    <w:right w:val="single" w:sz="8" w:space="0" w:color="B3DAFF"/>
                  </w:tcBorders>
                  <w:shd w:val="clear" w:color="auto" w:fill="E5F3FF"/>
                </w:tcPr>
                <w:p w:rsidR="00000000" w:rsidRDefault="006D5C7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sans-serif" w:hAnsi="sans-serif" w:cs="sans-serif"/>
                      <w:color w:val="000000"/>
                      <w:sz w:val="14"/>
                      <w:szCs w:val="14"/>
                    </w:rPr>
                  </w:pPr>
                  <w:hyperlink r:id="rId23" w:history="1">
                    <w:r>
                      <w:rPr>
                        <w:rFonts w:ascii="sans-serif" w:hAnsi="sans-serif" w:cs="sans-serif"/>
                        <w:color w:val="0000FF"/>
                        <w:sz w:val="14"/>
                        <w:szCs w:val="14"/>
                      </w:rPr>
                      <w:t>6</w:t>
                    </w:r>
                  </w:hyperlink>
                </w:p>
              </w:tc>
              <w:tc>
                <w:tcPr>
                  <w:tcW w:w="115" w:type="dxa"/>
                </w:tcPr>
                <w:p w:rsidR="00000000" w:rsidRDefault="006D5C7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sans-serif" w:hAnsi="sans-serif" w:cs="sans-serif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8" w:space="0" w:color="B3DAFF"/>
                    <w:left w:val="single" w:sz="8" w:space="0" w:color="B3DAFF"/>
                    <w:bottom w:val="single" w:sz="8" w:space="0" w:color="B3DAFF"/>
                    <w:right w:val="single" w:sz="8" w:space="0" w:color="B3DAFF"/>
                  </w:tcBorders>
                  <w:shd w:val="clear" w:color="auto" w:fill="E5F3FF"/>
                </w:tcPr>
                <w:p w:rsidR="00000000" w:rsidRDefault="006D5C7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sans-serif" w:hAnsi="sans-serif" w:cs="sans-serif"/>
                      <w:color w:val="000000"/>
                      <w:sz w:val="14"/>
                      <w:szCs w:val="14"/>
                    </w:rPr>
                  </w:pPr>
                  <w:hyperlink r:id="rId24" w:history="1">
                    <w:r>
                      <w:rPr>
                        <w:rFonts w:ascii="sans-serif" w:hAnsi="sans-serif" w:cs="sans-serif"/>
                        <w:color w:val="0000FF"/>
                        <w:sz w:val="14"/>
                        <w:szCs w:val="14"/>
                      </w:rPr>
                      <w:t>15</w:t>
                    </w:r>
                  </w:hyperlink>
                </w:p>
              </w:tc>
              <w:tc>
                <w:tcPr>
                  <w:tcW w:w="115" w:type="dxa"/>
                </w:tcPr>
                <w:p w:rsidR="00000000" w:rsidRDefault="006D5C7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sans-serif" w:hAnsi="sans-serif" w:cs="sans-serif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8" w:space="0" w:color="B3DAFF"/>
                    <w:left w:val="single" w:sz="8" w:space="0" w:color="B3DAFF"/>
                    <w:bottom w:val="single" w:sz="8" w:space="0" w:color="B3DAFF"/>
                    <w:right w:val="single" w:sz="8" w:space="0" w:color="B3DAFF"/>
                  </w:tcBorders>
                  <w:shd w:val="clear" w:color="auto" w:fill="E5F3FF"/>
                </w:tcPr>
                <w:p w:rsidR="00000000" w:rsidRDefault="006D5C7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sans-serif" w:hAnsi="sans-serif" w:cs="sans-serif"/>
                      <w:color w:val="000000"/>
                      <w:sz w:val="14"/>
                      <w:szCs w:val="14"/>
                    </w:rPr>
                  </w:pPr>
                  <w:hyperlink r:id="rId25" w:history="1">
                    <w:r>
                      <w:rPr>
                        <w:rFonts w:ascii="sans-serif" w:hAnsi="sans-serif" w:cs="sans-serif"/>
                        <w:color w:val="0000FF"/>
                        <w:sz w:val="14"/>
                        <w:szCs w:val="14"/>
                      </w:rPr>
                      <w:t>17</w:t>
                    </w:r>
                  </w:hyperlink>
                </w:p>
              </w:tc>
              <w:tc>
                <w:tcPr>
                  <w:tcW w:w="14" w:type="dxa"/>
                </w:tcPr>
                <w:p w:rsidR="00000000" w:rsidRDefault="006D5C7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sans-serif" w:hAnsi="sans-serif" w:cs="sans-serif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:rsidR="00000000" w:rsidRDefault="006D5C74">
            <w:pPr>
              <w:widowControl w:val="0"/>
              <w:autoSpaceDE w:val="0"/>
              <w:autoSpaceDN w:val="0"/>
              <w:adjustRightInd w:val="0"/>
              <w:spacing w:before="113"/>
              <w:rPr>
                <w:rFonts w:ascii="sans-serif" w:hAnsi="sans-serif" w:cs="sans-serif"/>
                <w:color w:val="000000"/>
                <w:sz w:val="17"/>
                <w:szCs w:val="17"/>
              </w:rPr>
            </w:pPr>
            <w:r>
              <w:rPr>
                <w:rFonts w:ascii="sans-serif" w:hAnsi="sans-serif" w:cs="sans-serif"/>
                <w:color w:val="000000"/>
                <w:sz w:val="17"/>
                <w:szCs w:val="17"/>
              </w:rPr>
              <w:t>S.Ct.</w:t>
            </w:r>
          </w:p>
          <w:p w:rsidR="00000000" w:rsidRDefault="006D5C74">
            <w:pPr>
              <w:widowControl w:val="0"/>
              <w:autoSpaceDE w:val="0"/>
              <w:autoSpaceDN w:val="0"/>
              <w:adjustRightInd w:val="0"/>
              <w:spacing w:before="113"/>
              <w:rPr>
                <w:rFonts w:ascii="sans-serif" w:hAnsi="sans-serif" w:cs="sans-serif"/>
                <w:color w:val="000000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96" w:type="dxa"/>
            <w:tcBorders>
              <w:top w:val="nil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0000" w:rsidRDefault="006D5C74">
            <w:pPr>
              <w:widowControl w:val="0"/>
              <w:autoSpaceDE w:val="0"/>
              <w:autoSpaceDN w:val="0"/>
              <w:adjustRightInd w:val="0"/>
              <w:rPr>
                <w:rFonts w:ascii="sans-serif" w:hAnsi="sans-serif" w:cs="sans-serif"/>
                <w:color w:val="000000"/>
                <w:sz w:val="17"/>
                <w:szCs w:val="17"/>
              </w:rPr>
            </w:pPr>
            <w:r>
              <w:rPr>
                <w:rFonts w:ascii="sans-serif" w:hAnsi="sans-serif" w:cs="sans-serif"/>
                <w:color w:val="000000"/>
                <w:sz w:val="17"/>
                <w:szCs w:val="17"/>
              </w:rPr>
              <w:t>Mentioned by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CBCBCB"/>
              <w:right w:val="single" w:sz="8" w:space="0" w:color="CBCBC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0000" w:rsidRDefault="006D5C74">
            <w:pPr>
              <w:widowControl w:val="0"/>
              <w:autoSpaceDE w:val="0"/>
              <w:autoSpaceDN w:val="0"/>
              <w:adjustRightInd w:val="0"/>
              <w:rPr>
                <w:rFonts w:ascii="sans-serif" w:hAnsi="sans-serif" w:cs="sans-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sz w:val="17"/>
                <w:szCs w:val="17"/>
              </w:rPr>
              <w:t xml:space="preserve">3. </w:t>
            </w:r>
            <w:hyperlink r:id="rId26" w:history="1">
              <w:r>
                <w:rPr>
                  <w:rFonts w:ascii="sans-serif" w:hAnsi="sans-serif" w:cs="sans-serif"/>
                  <w:b/>
                  <w:bCs/>
                  <w:color w:val="0000FF"/>
                  <w:sz w:val="17"/>
                  <w:szCs w:val="17"/>
                </w:rPr>
                <w:t xml:space="preserve"> LABORERS INTERNATIONAL UNION OF NORTH AMERICA, LOCAL 872 AND NAV-LVH, LLC D/B/A WESTGATE LAS VEGAS RESORT &amp; CASINO</w:t>
              </w:r>
            </w:hyperlink>
          </w:p>
          <w:p w:rsidR="00000000" w:rsidRDefault="006D5C74">
            <w:pPr>
              <w:widowControl w:val="0"/>
              <w:autoSpaceDE w:val="0"/>
              <w:autoSpaceDN w:val="0"/>
              <w:adjustRightInd w:val="0"/>
              <w:rPr>
                <w:rFonts w:ascii="sans-serif" w:hAnsi="sans-serif" w:cs="sans-serif"/>
                <w:color w:val="000000"/>
                <w:sz w:val="17"/>
                <w:szCs w:val="17"/>
              </w:rPr>
            </w:pPr>
            <w:r>
              <w:rPr>
                <w:rFonts w:ascii="sans-serif" w:hAnsi="sans-serif" w:cs="sans-serif"/>
                <w:color w:val="000000"/>
                <w:sz w:val="17"/>
                <w:szCs w:val="17"/>
              </w:rPr>
              <w:t>2015 WL 5000792, *1 , N.L.R.B. Div. of Judges , (NO. 28-CC-148007 , JD(SF</w:t>
            </w:r>
            <w:r>
              <w:rPr>
                <w:rFonts w:ascii="sans-serif" w:hAnsi="sans-serif" w:cs="sans-serif"/>
                <w:color w:val="000000"/>
                <w:sz w:val="17"/>
                <w:szCs w:val="17"/>
              </w:rPr>
              <w:t>)-32-15 , LAS VEGAS, NV )</w:t>
            </w:r>
          </w:p>
          <w:p w:rsidR="00000000" w:rsidRDefault="006D5C74">
            <w:pPr>
              <w:widowControl w:val="0"/>
              <w:autoSpaceDE w:val="0"/>
              <w:autoSpaceDN w:val="0"/>
              <w:adjustRightInd w:val="0"/>
              <w:spacing w:before="113"/>
              <w:rPr>
                <w:rFonts w:ascii="sans-serif" w:hAnsi="sans-serif" w:cs="sans-serif"/>
                <w:color w:val="000000"/>
                <w:sz w:val="17"/>
                <w:szCs w:val="17"/>
              </w:rPr>
            </w:pPr>
            <w:r>
              <w:rPr>
                <w:rFonts w:ascii="sans-serif" w:hAnsi="sans-serif" w:cs="sans-serif"/>
                <w:color w:val="000000"/>
                <w:sz w:val="17"/>
                <w:szCs w:val="17"/>
              </w:rPr>
              <w:t>Jeffrey D. Wedekind, Administrative Law Judge. In early 2015, the Westgate Las Vegas Resort &amp; Casino contracted with Nigro Construction, LLC to perform renovation work at the...</w:t>
            </w:r>
          </w:p>
          <w:p w:rsidR="00000000" w:rsidRDefault="006D5C74">
            <w:pPr>
              <w:widowControl w:val="0"/>
              <w:autoSpaceDE w:val="0"/>
              <w:autoSpaceDN w:val="0"/>
              <w:adjustRightInd w:val="0"/>
              <w:spacing w:before="113"/>
              <w:rPr>
                <w:rFonts w:ascii="sans-serif" w:hAnsi="sans-serif" w:cs="sans-serif"/>
                <w:color w:val="000000"/>
                <w:sz w:val="17"/>
                <w:szCs w:val="17"/>
              </w:rPr>
            </w:pPr>
            <w:hyperlink r:id="rId27" w:history="1">
              <w:r>
                <w:rPr>
                  <w:rFonts w:ascii="sans-serif" w:hAnsi="sans-serif" w:cs="sans-serif"/>
                  <w:color w:val="0000FF"/>
                  <w:sz w:val="17"/>
                  <w:szCs w:val="17"/>
                </w:rPr>
                <w:t>... alleged 8(b)(4)(ii)(B) allegations under the Supreme Court’s recent decisions in Reed v. Town of Gilbert, Arizona, 135 S.Ct. 2218 (201</w:t>
              </w:r>
              <w:r>
                <w:rPr>
                  <w:rFonts w:ascii="sans-serif" w:hAnsi="sans-serif" w:cs="sans-serif"/>
                  <w:color w:val="0000FF"/>
                  <w:sz w:val="17"/>
                  <w:szCs w:val="17"/>
                </w:rPr>
                <w:t xml:space="preserve">5), and </w:t>
              </w:r>
              <w:r>
                <w:rPr>
                  <w:rFonts w:ascii="sans-serif" w:hAnsi="sans-serif" w:cs="sans-serif"/>
                  <w:color w:val="0000FF"/>
                  <w:sz w:val="17"/>
                  <w:szCs w:val="17"/>
                  <w:shd w:val="clear" w:color="auto" w:fill="FFFF66"/>
                </w:rPr>
                <w:t>Burwell v. Hobby Lobby Stores, 134 S.Ct. 2751 (2014</w:t>
              </w:r>
              <w:r>
                <w:rPr>
                  <w:rFonts w:ascii="sans-serif" w:hAnsi="sans-serif" w:cs="sans-serif"/>
                  <w:color w:val="0000FF"/>
                  <w:sz w:val="17"/>
                  <w:szCs w:val="17"/>
                </w:rPr>
                <w:t xml:space="preserve">  ) Finally, I also decline to reach the Union’s requests for attorney’s fees under 42 U.S.C. Sec. 1988 ...</w:t>
              </w:r>
            </w:hyperlink>
          </w:p>
          <w:p w:rsidR="00000000" w:rsidRDefault="006D5C74">
            <w:pPr>
              <w:widowControl w:val="0"/>
              <w:autoSpaceDE w:val="0"/>
              <w:autoSpaceDN w:val="0"/>
              <w:adjustRightInd w:val="0"/>
              <w:spacing w:before="113"/>
              <w:rPr>
                <w:rFonts w:ascii="sans-serif" w:hAnsi="sans-serif" w:cs="sans-serif"/>
                <w:color w:val="000000"/>
                <w:sz w:val="17"/>
                <w:szCs w:val="17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CBCBCB"/>
              <w:right w:val="single" w:sz="8" w:space="0" w:color="CBCBC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0000" w:rsidRDefault="006D5C74">
            <w:pPr>
              <w:widowControl w:val="0"/>
              <w:autoSpaceDE w:val="0"/>
              <w:autoSpaceDN w:val="0"/>
              <w:adjustRightInd w:val="0"/>
              <w:rPr>
                <w:rFonts w:ascii="sans-serif" w:hAnsi="sans-serif" w:cs="sans-serif"/>
                <w:color w:val="000000"/>
                <w:sz w:val="17"/>
                <w:szCs w:val="17"/>
              </w:rPr>
            </w:pPr>
            <w:r>
              <w:rPr>
                <w:rFonts w:ascii="sans-serif" w:hAnsi="sans-serif" w:cs="sans-serif"/>
                <w:color w:val="000000"/>
                <w:sz w:val="17"/>
                <w:szCs w:val="17"/>
              </w:rPr>
              <w:t>Aug. 21, 2015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CBCBCB"/>
              <w:right w:val="single" w:sz="8" w:space="0" w:color="CBCBC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0000" w:rsidRDefault="006D5C74">
            <w:pPr>
              <w:widowControl w:val="0"/>
              <w:autoSpaceDE w:val="0"/>
              <w:autoSpaceDN w:val="0"/>
              <w:adjustRightInd w:val="0"/>
              <w:rPr>
                <w:rFonts w:ascii="sans-serif" w:hAnsi="sans-serif" w:cs="sans-serif"/>
                <w:color w:val="000000"/>
                <w:sz w:val="17"/>
                <w:szCs w:val="17"/>
              </w:rPr>
            </w:pPr>
            <w:r>
              <w:rPr>
                <w:rFonts w:ascii="sans-serif" w:hAnsi="sans-serif" w:cs="sans-serif"/>
                <w:color w:val="000000"/>
                <w:sz w:val="17"/>
                <w:szCs w:val="17"/>
              </w:rPr>
              <w:t>Administrative Decision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CBCBCB"/>
              <w:right w:val="single" w:sz="8" w:space="0" w:color="CBCBC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00000" w:rsidRDefault="006D5C74">
            <w:pPr>
              <w:widowControl w:val="0"/>
              <w:autoSpaceDE w:val="0"/>
              <w:autoSpaceDN w:val="0"/>
              <w:adjustRightInd w:val="0"/>
              <w:rPr>
                <w:rFonts w:ascii="sans-serif" w:hAnsi="sans-serif" w:cs="sans-serif"/>
                <w:color w:val="000000"/>
                <w:sz w:val="17"/>
                <w:szCs w:val="17"/>
              </w:rPr>
            </w:pPr>
            <w:r>
              <w:rPr>
                <w:rFonts w:ascii="sans-serif" w:hAnsi="sans-serif" w:cs="sans-serif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444500" cy="114300"/>
                  <wp:effectExtent l="0" t="0" r="12700" b="1270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CBCBCB"/>
              <w:right w:val="single" w:sz="8" w:space="0" w:color="CBCBCB"/>
            </w:tcBorders>
            <w:tcMar>
              <w:top w:w="80" w:type="dxa"/>
              <w:left w:w="40" w:type="dxa"/>
              <w:bottom w:w="40" w:type="dxa"/>
              <w:right w:w="40" w:type="dxa"/>
            </w:tcMar>
          </w:tcPr>
          <w:p w:rsidR="00000000" w:rsidRDefault="006D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sz w:val="17"/>
                <w:szCs w:val="17"/>
              </w:rPr>
            </w:pPr>
            <w:r>
              <w:rPr>
                <w:rFonts w:ascii="sans-serif" w:hAnsi="sans-serif" w:cs="sans-serif"/>
                <w:color w:val="000000"/>
                <w:sz w:val="17"/>
                <w:szCs w:val="17"/>
              </w:rPr>
              <w:t>—</w:t>
            </w:r>
          </w:p>
          <w:p w:rsidR="00000000" w:rsidRDefault="006D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sz w:val="17"/>
                <w:szCs w:val="17"/>
              </w:rPr>
            </w:pPr>
          </w:p>
        </w:tc>
      </w:tr>
    </w:tbl>
    <w:p w:rsidR="00000000" w:rsidRDefault="006D5C7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00000" w:rsidRDefault="006D5C7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000000">
      <w:type w:val="continuous"/>
      <w:pgSz w:w="12240" w:h="15840"/>
      <w:pgMar w:top="108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5C74">
      <w:r>
        <w:separator/>
      </w:r>
    </w:p>
  </w:endnote>
  <w:endnote w:type="continuationSeparator" w:id="0">
    <w:p w:rsidR="00000000" w:rsidRDefault="006D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ans-serif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00"/>
      <w:gridCol w:w="70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300" w:type="dxa"/>
          <w:tcBorders>
            <w:top w:val="single" w:sz="8" w:space="0" w:color="AAAAAA"/>
            <w:left w:val="nil"/>
            <w:bottom w:val="nil"/>
            <w:right w:val="nil"/>
          </w:tcBorders>
          <w:tcMar>
            <w:top w:w="60" w:type="dxa"/>
          </w:tcMar>
          <w:vAlign w:val="bottom"/>
        </w:tcPr>
        <w:p w:rsidR="00000000" w:rsidRDefault="006D5C74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color w:val="AAAAAA"/>
            </w:rPr>
          </w:pPr>
          <w:r>
            <w:rPr>
              <w:rFonts w:ascii="Arial" w:hAnsi="Arial" w:cs="Arial"/>
              <w:noProof/>
              <w:color w:val="AAAAAA"/>
            </w:rPr>
            <w:drawing>
              <wp:inline distT="0" distB="0" distL="0" distR="0">
                <wp:extent cx="635000" cy="762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color w:val="AAAAAA"/>
            </w:rPr>
            <w:t xml:space="preserve"> </w:t>
          </w:r>
          <w:r>
            <w:rPr>
              <w:rFonts w:ascii="Arial" w:hAnsi="Arial" w:cs="Arial"/>
              <w:color w:val="AAAAAA"/>
            </w:rPr>
            <w:t>©</w:t>
          </w:r>
          <w:r>
            <w:rPr>
              <w:rFonts w:ascii="Arial" w:hAnsi="Arial" w:cs="Arial"/>
              <w:color w:val="AAAAAA"/>
            </w:rPr>
            <w:t xml:space="preserve"> 2015 Thomson Reuters. No claim to original U.S. Government Works.</w:t>
          </w:r>
        </w:p>
      </w:tc>
      <w:tc>
        <w:tcPr>
          <w:tcW w:w="700" w:type="dxa"/>
          <w:tcBorders>
            <w:top w:val="single" w:sz="8" w:space="0" w:color="AAAAAA"/>
            <w:left w:val="nil"/>
            <w:bottom w:val="nil"/>
            <w:right w:val="nil"/>
          </w:tcBorders>
          <w:tcMar>
            <w:top w:w="60" w:type="dxa"/>
          </w:tcMar>
        </w:tcPr>
        <w:p w:rsidR="00000000" w:rsidRDefault="006D5C74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pgNum/>
          </w:r>
        </w:p>
      </w:tc>
    </w:tr>
  </w:tbl>
  <w:p w:rsidR="00000000" w:rsidRDefault="006D5C74">
    <w:pPr>
      <w:widowControl w:val="0"/>
      <w:autoSpaceDE w:val="0"/>
      <w:autoSpaceDN w:val="0"/>
      <w:adjustRightInd w:val="0"/>
      <w:rPr>
        <w:rFonts w:ascii="Arial" w:hAnsi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D5C74">
      <w:r>
        <w:separator/>
      </w:r>
    </w:p>
  </w:footnote>
  <w:footnote w:type="continuationSeparator" w:id="0">
    <w:p w:rsidR="00000000" w:rsidRDefault="006D5C7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0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000" w:type="dxa"/>
          <w:tcBorders>
            <w:top w:val="nil"/>
            <w:left w:val="nil"/>
            <w:bottom w:val="single" w:sz="8" w:space="0" w:color="AAAAAA"/>
            <w:right w:val="nil"/>
          </w:tcBorders>
          <w:tcMar>
            <w:bottom w:w="60" w:type="dxa"/>
          </w:tcMar>
          <w:vAlign w:val="bottom"/>
        </w:tcPr>
        <w:p w:rsidR="00000000" w:rsidRDefault="006D5C74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555555"/>
              <w:sz w:val="18"/>
              <w:szCs w:val="18"/>
            </w:rPr>
            <w:t>KeyCite Alert Hobby Lobby</w:t>
          </w:r>
        </w:p>
      </w:tc>
    </w:tr>
  </w:tbl>
  <w:p w:rsidR="00000000" w:rsidRDefault="006D5C74">
    <w:pPr>
      <w:widowControl w:val="0"/>
      <w:autoSpaceDE w:val="0"/>
      <w:autoSpaceDN w:val="0"/>
      <w:adjustRightInd w:val="0"/>
      <w:rPr>
        <w:rFonts w:ascii="Arial" w:hAnsi="Arial"/>
        <w:sz w:val="24"/>
        <w:szCs w:val="24"/>
      </w:rPr>
    </w:pPr>
  </w:p>
  <w:p w:rsidR="00000000" w:rsidRDefault="006D5C74">
    <w:pPr>
      <w:widowControl w:val="0"/>
      <w:autoSpaceDE w:val="0"/>
      <w:autoSpaceDN w:val="0"/>
      <w:adjustRightInd w:val="0"/>
      <w:ind w:left="720" w:right="720"/>
      <w:rPr>
        <w:rFonts w:ascii="Arial" w:hAnsi="Arial" w:cs="Arial"/>
        <w:color w:val="000000"/>
        <w:sz w:val="18"/>
        <w:szCs w:val="18"/>
      </w:rPr>
    </w:pPr>
  </w:p>
  <w:p w:rsidR="00000000" w:rsidRDefault="006D5C74">
    <w:pPr>
      <w:widowControl w:val="0"/>
      <w:autoSpaceDE w:val="0"/>
      <w:autoSpaceDN w:val="0"/>
      <w:adjustRightInd w:val="0"/>
      <w:rPr>
        <w:rFonts w:ascii="Arial" w:hAnsi="Arial"/>
        <w:sz w:val="24"/>
        <w:szCs w:val="24"/>
      </w:rPr>
    </w:pPr>
    <w:r>
      <w:br w:type="page"/>
    </w:r>
    <w:r>
      <w:rPr>
        <w:rFonts w:ascii="Arial" w:hAnsi="Arial" w:cs="Arial"/>
        <w:color w:val="000000"/>
        <w:spacing w:val="-10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C74"/>
    <w:rsid w:val="006D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1.next.westlaw.com/Link/RelatedInformation/Flag?docGuid=If648fefa003611e4b86bd602cb8781fa&amp;transitionType=Default&amp;contextData=(sc.Default)&amp;alertGuid=i0ad70f7e00000148cc7af45750c3473c" TargetMode="External"/><Relationship Id="rId20" Type="http://schemas.openxmlformats.org/officeDocument/2006/relationships/hyperlink" Target="https://1.next.westlaw.com/Document/I0ec538204b2411e58212e4bbedac7c67/View/FullText.html?navigationPath=%2FRelatedInfo%2Fv1%2FkcCitingReferences%2Fnav%3FdocGuid%3DIf648fefa003611e4b86bd602cb8781fa%26midlineIndex%3D2%26warningFlag%3Dnull%26planIcons%3Dnull%26skipOutOfPlan%3Dnull%26sort%3Ddefault%26filterGuid%3Dhd05cbebee786ae6a357dc983ceb5e1ad%26category%3DkcCitingReferences&amp;listSource=RelatedInfo&amp;list=CitingReferences&amp;rank=2&amp;docFamilyGuid=If5f945c04b9611e594aec3813d775038&amp;originationContext=citingreferences&amp;transitionType=CitingReferencesItem&amp;contextData=%28sc.Default%29&amp;alertGuid=i0ad70f7e00000148cc7af45750c3473c" TargetMode="External"/><Relationship Id="rId21" Type="http://schemas.openxmlformats.org/officeDocument/2006/relationships/hyperlink" Target="https://1.next.westlaw.com/Document/I0ec538204b2411e58212e4bbedac7c67/View/FullText.html?navigationPath=%2FRelatedInfo%2Fv1%2FkcCitingReferences%2Fnav%3FdocGuid%3DIf648fefa003611e4b86bd602cb8781fa%26midlineIndex%3D2%26warningFlag%3Dnull%26planIcons%3Dnull%26skipOutOfPlan%3Dnull%26sort%3Ddefault%26filterGuid%3Dhd05cbebee786ae6a357dc983ceb5e1ad%26category%3DkcCitingReferences&amp;listSource=RelatedInfo&amp;list=CitingReferences&amp;rank=2&amp;docFamilyGuid=If5f945c04b9611e594aec3813d775038&amp;originationContext=citingreferences&amp;transitionType=CitingReferencesItem&amp;contextData=%28sc.Default%29&amp;amp;alertGuid=i0ad70f7e00000148cc7af45750c3473c&amp;alertGuid=i0ad70f7e00000148cc7af45750c3473c" TargetMode="External"/><Relationship Id="rId22" Type="http://schemas.openxmlformats.org/officeDocument/2006/relationships/image" Target="media/image6.png"/><Relationship Id="rId23" Type="http://schemas.openxmlformats.org/officeDocument/2006/relationships/hyperlink" Target="https://1.next.westlaw.com/Document/If648fefa003611e4b86bd602cb8781fa/View/FullText.html?listSource=RelatedInfo&amp;list=CitingReferences&amp;rank=0&amp;docFamilyGuid=If648fefb003611e4b86bd602cb8781fa&amp;originationContext=citingreferences&amp;transitionType=CitingReferencesItem&amp;contextData=%28sc.Default%29&amp;alertGuid=i0ad70f7e00000148cc7af45750c3473c#co_anchor_headNote_6" TargetMode="External"/><Relationship Id="rId24" Type="http://schemas.openxmlformats.org/officeDocument/2006/relationships/hyperlink" Target="https://1.next.westlaw.com/Document/If648fefa003611e4b86bd602cb8781fa/View/FullText.html?listSource=RelatedInfo&amp;list=CitingReferences&amp;rank=0&amp;docFamilyGuid=If648fefb003611e4b86bd602cb8781fa&amp;originationContext=citingreferences&amp;transitionType=CitingReferencesItem&amp;contextData=%28sc.Default%29&amp;alertGuid=i0ad70f7e00000148cc7af45750c3473c#co_anchor_headNote_15" TargetMode="External"/><Relationship Id="rId25" Type="http://schemas.openxmlformats.org/officeDocument/2006/relationships/hyperlink" Target="https://1.next.westlaw.com/Document/If648fefa003611e4b86bd602cb8781fa/View/FullText.html?listSource=RelatedInfo&amp;list=CitingReferences&amp;rank=0&amp;docFamilyGuid=If648fefb003611e4b86bd602cb8781fa&amp;originationContext=citingreferences&amp;transitionType=CitingReferencesItem&amp;contextData=%28sc.Default%29&amp;alertGuid=i0ad70f7e00000148cc7af45750c3473c#co_anchor_headNote_17" TargetMode="External"/><Relationship Id="rId26" Type="http://schemas.openxmlformats.org/officeDocument/2006/relationships/hyperlink" Target="https://1.next.westlaw.com/Document/I390f738a4ae811e5b4bafa136b480ad2/View/FullText.html?navigationPath=%2FRelatedInfo%2Fv1%2FkcCitingReferences%2Fnav%3FdocGuid%3DIf648fefa003611e4b86bd602cb8781fa%26midlineIndex%3D3%26warningFlag%3Dnull%26planIcons%3Dnull%26skipOutOfPlan%3Dnull%26sort%3Ddefault%26filterGuid%3Dhd05cbebee786ae6a357dc983ceb5e1ad%26category%3DkcCitingReferences&amp;listSource=RelatedInfo&amp;list=CitingReferences&amp;rank=3&amp;docFamilyGuid=I390f738e4ae811e5b4bafa136b480ad2&amp;originationContext=citingreferences&amp;transitionType=CitingReferencesItem&amp;contextData=%28sc.Default%29&amp;alertGuid=i0ad70f7e00000148cc7af45750c3473c" TargetMode="External"/><Relationship Id="rId27" Type="http://schemas.openxmlformats.org/officeDocument/2006/relationships/hyperlink" Target="https://1.next.westlaw.com/Document/I390f738a4ae811e5b4bafa136b480ad2/View/FullText.html?navigationPath=%2FRelatedInfo%2Fv1%2FkcCitingReferences%2Fnav%3FdocGuid%3DIf648fefa003611e4b86bd602cb8781fa%26midlineIndex%3D3%26warningFlag%3Dnull%26planIcons%3Dnull%26skipOutOfPlan%3Dnull%26sort%3Ddefault%26filterGuid%3Dhd05cbebee786ae6a357dc983ceb5e1ad%26category%3DkcCitingReferences&amp;listSource=RelatedInfo&amp;list=CitingReferences&amp;rank=3&amp;docFamilyGuid=I390f738e4ae811e5b4bafa136b480ad2&amp;originationContext=citingreferences&amp;transitionType=CitingReferencesItem&amp;contextData=%28sc.Default%29&amp;amp;alertGuid=i0ad70f7e00000148cc7af45750c3473c&amp;alertGuid=i0ad70f7e00000148cc7af45750c3473c" TargetMode="External"/><Relationship Id="rId28" Type="http://schemas.openxmlformats.org/officeDocument/2006/relationships/image" Target="media/image7.png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hyperlink" Target="https://1.next.westlaw.com/Document/If648fefa003611e4b86bd602cb8781fa/View/FullText.html?transitionType=Default&amp;contextData=%28sc.Default%29&amp;alertGuid=i0ad70f7e00000148cc7af45750c3473c" TargetMode="External"/><Relationship Id="rId12" Type="http://schemas.openxmlformats.org/officeDocument/2006/relationships/image" Target="media/image3.png"/><Relationship Id="rId13" Type="http://schemas.openxmlformats.org/officeDocument/2006/relationships/hyperlink" Target="https://1.next.westlaw.com/Document/I7eb6b9fb49f411e5a795ac035416da91/View/FullText.html?navigationPath=%2FRelatedInfo%2Fv1%2FkcCitingReferences%2Fnav%3FdocGuid%3DIf648fefa003611e4b86bd602cb8781fa%26midlineIndex%3D1%26warningFlag%3Dnull%26planIcons%3Dnull%26skipOutOfPlan%3Dnull%26sort%3Ddefault%26filterGuid%3Dhd05cbebee786ae6a357dc983ceb5e1ad%26category%3DkcCitingReferences&amp;listSource=RelatedInfo&amp;list=CitingReferences&amp;rank=1&amp;docFamilyGuid=I7eb6b9fc49f411e5a795ac035416da91&amp;originationContext=citingreferences&amp;transitionType=CitingReferencesItem&amp;contextData=%28sc.Default%29&amp;alertGuid=i0ad70f7e00000148cc7af45750c3473c" TargetMode="External"/><Relationship Id="rId14" Type="http://schemas.openxmlformats.org/officeDocument/2006/relationships/image" Target="media/image4.png"/><Relationship Id="rId15" Type="http://schemas.openxmlformats.org/officeDocument/2006/relationships/hyperlink" Target="https://1.next.westlaw.com/Document/I7eb6b9fb49f411e5a795ac035416da91/View/FullText.html?navigationPath=%2FRelatedInfo%2Fv1%2FkcCitingReferences%2Fnav%3FdocGuid%3DIf648fefa003611e4b86bd602cb8781fa%26midlineIndex%3D1%26warningFlag%3Dnull%26planIcons%3Dnull%26skipOutOfPlan%3Dnull%26sort%3Ddefault%26filterGuid%3Dhd05cbebee786ae6a357dc983ceb5e1ad%26category%3DkcCitingReferences&amp;listSource=RelatedInfo&amp;list=CitingReferences&amp;rank=1&amp;docFamilyGuid=I7eb6b9fc49f411e5a795ac035416da91&amp;originationContext=citingreferences&amp;transitionType=CitingReferencesItem&amp;contextData=%28sc.Default%29&amp;amp;alertGuid=i0ad70f7e00000148cc7af45750c3473c&amp;alertGuid=i0ad70f7e00000148cc7af45750c3473c" TargetMode="External"/><Relationship Id="rId16" Type="http://schemas.openxmlformats.org/officeDocument/2006/relationships/image" Target="media/image5.png"/><Relationship Id="rId17" Type="http://schemas.openxmlformats.org/officeDocument/2006/relationships/hyperlink" Target="https://1.next.westlaw.com/Document/If648fefa003611e4b86bd602cb8781fa/View/FullText.html?listSource=RelatedInfo&amp;list=CitingReferences&amp;rank=0&amp;docFamilyGuid=If648fefb003611e4b86bd602cb8781fa&amp;originationContext=citingreferences&amp;transitionType=CitingReferencesItem&amp;contextData=%28sc.Default%29&amp;alertGuid=i0ad70f7e00000148cc7af45750c3473c#co_anchor_headNote_11" TargetMode="External"/><Relationship Id="rId18" Type="http://schemas.openxmlformats.org/officeDocument/2006/relationships/hyperlink" Target="https://1.next.westlaw.com/Document/If648fefa003611e4b86bd602cb8781fa/View/FullText.html?listSource=RelatedInfo&amp;list=CitingReferences&amp;rank=0&amp;docFamilyGuid=If648fefb003611e4b86bd602cb8781fa&amp;originationContext=citingreferences&amp;transitionType=CitingReferencesItem&amp;contextData=%28sc.Default%29&amp;alertGuid=i0ad70f7e00000148cc7af45750c3473c#co_anchor_headNote_14" TargetMode="External"/><Relationship Id="rId19" Type="http://schemas.openxmlformats.org/officeDocument/2006/relationships/hyperlink" Target="https://1.next.westlaw.com/Document/If648fefa003611e4b86bd602cb8781fa/View/FullText.html?listSource=RelatedInfo&amp;list=CitingReferences&amp;rank=0&amp;docFamilyGuid=If648fefb003611e4b86bd602cb8781fa&amp;originationContext=citingreferences&amp;transitionType=CitingReferencesItem&amp;contextData=%28sc.Default%29&amp;alertGuid=i0ad70f7e00000148cc7af45750c3473c#co_anchor_headNote_18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1379</Words>
  <Characters>7864</Characters>
  <Application>Microsoft Macintosh Word</Application>
  <DocSecurity>0</DocSecurity>
  <Lines>65</Lines>
  <Paragraphs>18</Paragraphs>
  <ScaleCrop>false</ScaleCrop>
  <Company/>
  <LinksUpToDate>false</LinksUpToDate>
  <CharactersWithSpaces>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Lienna Libersher</cp:lastModifiedBy>
  <cp:revision>2</cp:revision>
  <dcterms:created xsi:type="dcterms:W3CDTF">2017-02-11T04:17:00Z</dcterms:created>
  <dcterms:modified xsi:type="dcterms:W3CDTF">2017-02-11T04:17:00Z</dcterms:modified>
</cp:coreProperties>
</file>